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BA" w:rsidRDefault="008763BA" w:rsidP="008763BA">
      <w:pPr>
        <w:adjustRightInd w:val="0"/>
        <w:jc w:val="center"/>
        <w:rPr>
          <w:b/>
          <w:sz w:val="24"/>
          <w:szCs w:val="24"/>
        </w:rPr>
      </w:pPr>
      <w:r>
        <w:rPr>
          <w:b/>
          <w:sz w:val="24"/>
          <w:szCs w:val="24"/>
        </w:rPr>
        <w:t>Seine Maritime</w:t>
      </w:r>
    </w:p>
    <w:p w:rsidR="008763BA" w:rsidRDefault="008763BA" w:rsidP="008763BA">
      <w:pPr>
        <w:adjustRightInd w:val="0"/>
        <w:jc w:val="center"/>
        <w:rPr>
          <w:b/>
          <w:sz w:val="24"/>
          <w:szCs w:val="24"/>
        </w:rPr>
      </w:pPr>
      <w:r>
        <w:rPr>
          <w:b/>
          <w:sz w:val="24"/>
          <w:szCs w:val="24"/>
        </w:rPr>
        <w:t>Arrondissement de Dieppe</w:t>
      </w:r>
    </w:p>
    <w:p w:rsidR="008763BA" w:rsidRDefault="008763BA" w:rsidP="008763BA">
      <w:pPr>
        <w:adjustRightInd w:val="0"/>
        <w:jc w:val="center"/>
        <w:rPr>
          <w:b/>
          <w:sz w:val="24"/>
          <w:szCs w:val="24"/>
        </w:rPr>
      </w:pPr>
      <w:r>
        <w:rPr>
          <w:b/>
          <w:sz w:val="24"/>
          <w:szCs w:val="24"/>
        </w:rPr>
        <w:t>Commune de BLOSSEVILLE SUR MER</w:t>
      </w:r>
    </w:p>
    <w:p w:rsidR="008763BA" w:rsidRDefault="008763BA" w:rsidP="008763BA">
      <w:pPr>
        <w:adjustRightInd w:val="0"/>
        <w:jc w:val="center"/>
        <w:rPr>
          <w:b/>
          <w:sz w:val="24"/>
          <w:szCs w:val="24"/>
        </w:rPr>
      </w:pPr>
    </w:p>
    <w:p w:rsidR="008763BA" w:rsidRDefault="008763BA" w:rsidP="008763BA">
      <w:pPr>
        <w:adjustRightInd w:val="0"/>
        <w:jc w:val="center"/>
        <w:rPr>
          <w:sz w:val="24"/>
          <w:szCs w:val="24"/>
        </w:rPr>
      </w:pPr>
      <w:r>
        <w:rPr>
          <w:b/>
          <w:bCs/>
          <w:i/>
          <w:iCs/>
          <w:sz w:val="36"/>
          <w:szCs w:val="36"/>
          <w:u w:val="single"/>
        </w:rPr>
        <w:t>EXTRAIT DU REGISTRE DES</w:t>
      </w:r>
    </w:p>
    <w:p w:rsidR="008763BA" w:rsidRDefault="008763BA" w:rsidP="008763BA">
      <w:pPr>
        <w:adjustRightInd w:val="0"/>
        <w:jc w:val="center"/>
        <w:rPr>
          <w:b/>
        </w:rPr>
      </w:pPr>
      <w:r>
        <w:rPr>
          <w:b/>
          <w:bCs/>
          <w:i/>
          <w:iCs/>
          <w:sz w:val="36"/>
          <w:szCs w:val="36"/>
          <w:u w:val="single"/>
        </w:rPr>
        <w:t>DELIBERATIONS DU CONSEIL MUNICIPAL</w:t>
      </w:r>
    </w:p>
    <w:p w:rsidR="008763BA" w:rsidRDefault="008763BA" w:rsidP="008763BA">
      <w:pPr>
        <w:adjustRightInd w:val="0"/>
        <w:jc w:val="center"/>
        <w:rPr>
          <w:b/>
        </w:rPr>
      </w:pPr>
    </w:p>
    <w:p w:rsidR="008763BA" w:rsidRDefault="008763BA" w:rsidP="008763BA">
      <w:pPr>
        <w:adjustRightInd w:val="0"/>
        <w:jc w:val="center"/>
        <w:rPr>
          <w:b/>
        </w:rPr>
      </w:pPr>
    </w:p>
    <w:p w:rsidR="008763BA" w:rsidRDefault="008763BA" w:rsidP="008763BA">
      <w:pPr>
        <w:adjustRightInd w:val="0"/>
        <w:jc w:val="center"/>
        <w:rPr>
          <w:b/>
        </w:rPr>
      </w:pPr>
    </w:p>
    <w:p w:rsidR="008763BA" w:rsidRDefault="008763BA" w:rsidP="008763BA">
      <w:pPr>
        <w:adjustRightInd w:val="0"/>
        <w:jc w:val="both"/>
        <w:rPr>
          <w:b/>
        </w:rPr>
      </w:pPr>
    </w:p>
    <w:p w:rsidR="008763BA" w:rsidRDefault="005A1BDE" w:rsidP="008763BA">
      <w:pPr>
        <w:adjustRightInd w:val="0"/>
        <w:jc w:val="both"/>
        <w:rPr>
          <w:sz w:val="22"/>
          <w:szCs w:val="22"/>
        </w:rPr>
      </w:pPr>
      <w:r>
        <w:rPr>
          <w:b/>
          <w:sz w:val="22"/>
          <w:szCs w:val="22"/>
        </w:rPr>
        <w:t>L'an deux mil dix-huit, le 30</w:t>
      </w:r>
      <w:r w:rsidR="008763BA">
        <w:rPr>
          <w:b/>
          <w:sz w:val="22"/>
          <w:szCs w:val="22"/>
        </w:rPr>
        <w:t xml:space="preserve"> </w:t>
      </w:r>
      <w:r>
        <w:rPr>
          <w:b/>
          <w:sz w:val="22"/>
          <w:szCs w:val="22"/>
        </w:rPr>
        <w:t>août</w:t>
      </w:r>
      <w:r w:rsidR="008763BA">
        <w:rPr>
          <w:sz w:val="22"/>
          <w:szCs w:val="22"/>
        </w:rPr>
        <w:t xml:space="preserve"> le conseil municipal, légalement convoqué pour un conseil municipal, s'est réuni à la mairie à 18h00, sous la présidence de Pascal VANIER, Maire.</w:t>
      </w:r>
    </w:p>
    <w:p w:rsidR="008763BA" w:rsidRDefault="008763BA" w:rsidP="008763BA">
      <w:pPr>
        <w:adjustRightInd w:val="0"/>
        <w:jc w:val="both"/>
        <w:rPr>
          <w:sz w:val="22"/>
          <w:szCs w:val="22"/>
        </w:rPr>
      </w:pPr>
    </w:p>
    <w:p w:rsidR="008763BA" w:rsidRDefault="008763BA" w:rsidP="008763BA">
      <w:pPr>
        <w:adjustRightInd w:val="0"/>
        <w:ind w:left="2124" w:hanging="2124"/>
        <w:jc w:val="both"/>
        <w:rPr>
          <w:bCs/>
          <w:sz w:val="22"/>
          <w:szCs w:val="22"/>
        </w:rPr>
      </w:pPr>
      <w:r>
        <w:rPr>
          <w:b/>
          <w:bCs/>
          <w:sz w:val="22"/>
          <w:szCs w:val="22"/>
          <w:u w:val="single"/>
        </w:rPr>
        <w:t xml:space="preserve">Etaient présents </w:t>
      </w:r>
      <w:r>
        <w:rPr>
          <w:b/>
          <w:bCs/>
          <w:sz w:val="22"/>
          <w:szCs w:val="22"/>
        </w:rPr>
        <w:t>:</w:t>
      </w:r>
      <w:r>
        <w:rPr>
          <w:b/>
          <w:bCs/>
          <w:sz w:val="22"/>
          <w:szCs w:val="22"/>
        </w:rPr>
        <w:tab/>
      </w:r>
      <w:r>
        <w:rPr>
          <w:bCs/>
          <w:sz w:val="22"/>
          <w:szCs w:val="22"/>
        </w:rPr>
        <w:t>Mesdames  HALLEBARD Mireille, MAURIQUE Laurence, ROBILLARD Marie-Line</w:t>
      </w:r>
    </w:p>
    <w:p w:rsidR="008763BA" w:rsidRDefault="008763BA" w:rsidP="008763BA">
      <w:pPr>
        <w:adjustRightInd w:val="0"/>
        <w:ind w:left="2124"/>
        <w:jc w:val="both"/>
        <w:rPr>
          <w:bCs/>
          <w:sz w:val="22"/>
          <w:szCs w:val="22"/>
        </w:rPr>
      </w:pPr>
      <w:r>
        <w:rPr>
          <w:bCs/>
          <w:sz w:val="22"/>
          <w:szCs w:val="22"/>
        </w:rPr>
        <w:t xml:space="preserve">Messieurs GAILLANDRE Alain, GRATIGNY Laurent, VANIER pascal, LOUVEL Jacques, BLOSSEVILLE Laurent, </w:t>
      </w:r>
    </w:p>
    <w:p w:rsidR="008763BA" w:rsidRDefault="008763BA" w:rsidP="008763BA">
      <w:pPr>
        <w:adjustRightInd w:val="0"/>
        <w:ind w:left="2124" w:hanging="2124"/>
        <w:jc w:val="both"/>
        <w:rPr>
          <w:sz w:val="22"/>
          <w:szCs w:val="22"/>
        </w:rPr>
      </w:pPr>
    </w:p>
    <w:p w:rsidR="008763BA" w:rsidRDefault="008763BA" w:rsidP="008763BA">
      <w:pPr>
        <w:adjustRightInd w:val="0"/>
        <w:rPr>
          <w:bCs/>
          <w:sz w:val="22"/>
          <w:szCs w:val="22"/>
        </w:rPr>
      </w:pPr>
      <w:r>
        <w:rPr>
          <w:b/>
          <w:bCs/>
          <w:sz w:val="22"/>
          <w:szCs w:val="22"/>
          <w:u w:val="single"/>
        </w:rPr>
        <w:t xml:space="preserve">Absents </w:t>
      </w:r>
      <w:r>
        <w:rPr>
          <w:bCs/>
          <w:sz w:val="22"/>
          <w:szCs w:val="22"/>
        </w:rPr>
        <w:t>:</w:t>
      </w:r>
      <w:r>
        <w:rPr>
          <w:bCs/>
          <w:sz w:val="22"/>
          <w:szCs w:val="22"/>
        </w:rPr>
        <w:tab/>
      </w:r>
      <w:r>
        <w:rPr>
          <w:bCs/>
          <w:sz w:val="22"/>
          <w:szCs w:val="22"/>
        </w:rPr>
        <w:tab/>
        <w:t xml:space="preserve">Mme LEFEBVRE Sophie </w:t>
      </w:r>
    </w:p>
    <w:p w:rsidR="008763BA" w:rsidRDefault="008763BA" w:rsidP="008763BA">
      <w:pPr>
        <w:adjustRightInd w:val="0"/>
        <w:rPr>
          <w:bCs/>
          <w:sz w:val="22"/>
          <w:szCs w:val="22"/>
        </w:rPr>
      </w:pPr>
      <w:r>
        <w:rPr>
          <w:bCs/>
          <w:sz w:val="22"/>
          <w:szCs w:val="22"/>
        </w:rPr>
        <w:tab/>
      </w:r>
      <w:r>
        <w:rPr>
          <w:bCs/>
          <w:sz w:val="22"/>
          <w:szCs w:val="22"/>
        </w:rPr>
        <w:tab/>
      </w:r>
      <w:r>
        <w:rPr>
          <w:bCs/>
          <w:sz w:val="22"/>
          <w:szCs w:val="22"/>
        </w:rPr>
        <w:tab/>
        <w:t>Mr BLOSSEVILLE Richard</w:t>
      </w:r>
    </w:p>
    <w:p w:rsidR="008763BA" w:rsidRDefault="008763BA" w:rsidP="008763BA">
      <w:pPr>
        <w:adjustRightInd w:val="0"/>
        <w:rPr>
          <w:bCs/>
          <w:sz w:val="22"/>
          <w:szCs w:val="22"/>
        </w:rPr>
      </w:pPr>
    </w:p>
    <w:p w:rsidR="008763BA" w:rsidRDefault="008763BA" w:rsidP="008763BA">
      <w:pPr>
        <w:adjustRightInd w:val="0"/>
        <w:rPr>
          <w:sz w:val="22"/>
          <w:szCs w:val="22"/>
        </w:rPr>
      </w:pPr>
    </w:p>
    <w:p w:rsidR="008763BA" w:rsidRDefault="008763BA" w:rsidP="008763BA">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Date de convocation :</w:t>
      </w:r>
      <w:r>
        <w:rPr>
          <w:sz w:val="22"/>
          <w:szCs w:val="22"/>
        </w:rPr>
        <w:tab/>
      </w:r>
      <w:r>
        <w:rPr>
          <w:sz w:val="22"/>
          <w:szCs w:val="22"/>
        </w:rPr>
        <w:tab/>
      </w:r>
      <w:r>
        <w:rPr>
          <w:sz w:val="22"/>
          <w:szCs w:val="22"/>
        </w:rPr>
        <w:tab/>
        <w:t>23 aout 2018</w:t>
      </w:r>
    </w:p>
    <w:p w:rsidR="008763BA" w:rsidRDefault="008763BA" w:rsidP="008763BA">
      <w:pPr>
        <w:pBdr>
          <w:top w:val="single" w:sz="4" w:space="0" w:color="auto"/>
          <w:left w:val="single" w:sz="4" w:space="4" w:color="auto"/>
          <w:bottom w:val="single" w:sz="4" w:space="1" w:color="auto"/>
          <w:right w:val="single" w:sz="4" w:space="4" w:color="auto"/>
        </w:pBdr>
        <w:adjustRightInd w:val="0"/>
        <w:rPr>
          <w:b/>
          <w:sz w:val="22"/>
          <w:szCs w:val="22"/>
        </w:rPr>
      </w:pPr>
      <w:r>
        <w:rPr>
          <w:b/>
          <w:sz w:val="22"/>
          <w:szCs w:val="22"/>
        </w:rPr>
        <w:t>Nombre de conseillers</w:t>
      </w:r>
    </w:p>
    <w:p w:rsidR="008763BA" w:rsidRDefault="008763BA" w:rsidP="008763BA">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En exercice :</w:t>
      </w:r>
      <w:r>
        <w:rPr>
          <w:sz w:val="22"/>
          <w:szCs w:val="22"/>
        </w:rPr>
        <w:tab/>
      </w:r>
      <w:r>
        <w:rPr>
          <w:sz w:val="22"/>
          <w:szCs w:val="22"/>
        </w:rPr>
        <w:tab/>
      </w:r>
      <w:r>
        <w:rPr>
          <w:sz w:val="22"/>
          <w:szCs w:val="22"/>
        </w:rPr>
        <w:tab/>
      </w:r>
      <w:r>
        <w:rPr>
          <w:sz w:val="22"/>
          <w:szCs w:val="22"/>
        </w:rPr>
        <w:tab/>
        <w:t>10</w:t>
      </w:r>
    </w:p>
    <w:p w:rsidR="008763BA" w:rsidRDefault="008763BA" w:rsidP="008763BA">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 xml:space="preserve">Présents : </w:t>
      </w:r>
      <w:r>
        <w:rPr>
          <w:sz w:val="22"/>
          <w:szCs w:val="22"/>
        </w:rPr>
        <w:tab/>
      </w:r>
      <w:r>
        <w:rPr>
          <w:sz w:val="22"/>
          <w:szCs w:val="22"/>
        </w:rPr>
        <w:tab/>
      </w:r>
      <w:r>
        <w:rPr>
          <w:sz w:val="22"/>
          <w:szCs w:val="22"/>
        </w:rPr>
        <w:tab/>
      </w:r>
      <w:r>
        <w:rPr>
          <w:sz w:val="22"/>
          <w:szCs w:val="22"/>
        </w:rPr>
        <w:tab/>
        <w:t>08</w:t>
      </w:r>
    </w:p>
    <w:p w:rsidR="008763BA" w:rsidRDefault="008763BA" w:rsidP="008763BA">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Votants :</w:t>
      </w:r>
      <w:r>
        <w:rPr>
          <w:sz w:val="22"/>
          <w:szCs w:val="22"/>
        </w:rPr>
        <w:tab/>
      </w:r>
      <w:r>
        <w:rPr>
          <w:sz w:val="22"/>
          <w:szCs w:val="22"/>
        </w:rPr>
        <w:tab/>
      </w:r>
      <w:r>
        <w:rPr>
          <w:sz w:val="22"/>
          <w:szCs w:val="22"/>
        </w:rPr>
        <w:tab/>
      </w:r>
      <w:r>
        <w:rPr>
          <w:sz w:val="22"/>
          <w:szCs w:val="22"/>
        </w:rPr>
        <w:tab/>
        <w:t>08</w:t>
      </w:r>
    </w:p>
    <w:p w:rsidR="008763BA" w:rsidRDefault="008763BA" w:rsidP="008763BA">
      <w:pPr>
        <w:rPr>
          <w:sz w:val="22"/>
          <w:szCs w:val="22"/>
        </w:rPr>
      </w:pPr>
    </w:p>
    <w:p w:rsidR="008763BA" w:rsidRDefault="008763BA" w:rsidP="008763BA">
      <w:pPr>
        <w:rPr>
          <w:sz w:val="22"/>
          <w:szCs w:val="22"/>
        </w:rPr>
      </w:pPr>
    </w:p>
    <w:p w:rsidR="008763BA" w:rsidRDefault="008763BA" w:rsidP="008763BA">
      <w:pPr>
        <w:rPr>
          <w:b/>
          <w:sz w:val="22"/>
          <w:szCs w:val="22"/>
          <w:u w:val="single"/>
        </w:rPr>
      </w:pPr>
      <w:r>
        <w:rPr>
          <w:b/>
          <w:sz w:val="22"/>
          <w:szCs w:val="22"/>
          <w:u w:val="single"/>
        </w:rPr>
        <w:t>Compte rendu du conseil municipal du 24 juillet 2018</w:t>
      </w:r>
    </w:p>
    <w:p w:rsidR="008763BA" w:rsidRDefault="008763BA" w:rsidP="008763BA">
      <w:pPr>
        <w:rPr>
          <w:sz w:val="22"/>
          <w:szCs w:val="22"/>
        </w:rPr>
      </w:pPr>
    </w:p>
    <w:p w:rsidR="00E32C6E" w:rsidRDefault="008763BA">
      <w:r>
        <w:t>Le compte rendu du 24 juillet 218 est approuvé à l’unanimité des membres présents.</w:t>
      </w:r>
    </w:p>
    <w:p w:rsidR="008763BA" w:rsidRDefault="008763BA"/>
    <w:p w:rsidR="008763BA" w:rsidRPr="008763BA" w:rsidRDefault="008763BA">
      <w:pPr>
        <w:rPr>
          <w:b/>
        </w:rPr>
      </w:pPr>
      <w:r w:rsidRPr="008763BA">
        <w:rPr>
          <w:b/>
          <w:sz w:val="22"/>
        </w:rPr>
        <w:t>Acquisition Maison</w:t>
      </w:r>
    </w:p>
    <w:p w:rsidR="008763BA" w:rsidRDefault="008763BA"/>
    <w:p w:rsidR="008763BA" w:rsidRDefault="008763BA">
      <w:r>
        <w:t>Il faudra envisager un marché de travaux avec option pour aménager les combles afin de proposer plus de chambres.</w:t>
      </w:r>
    </w:p>
    <w:p w:rsidR="008763BA" w:rsidRDefault="008763BA">
      <w:r>
        <w:t>L’étage présente un potentiel pour 3 chambres et une salle de bain. Le mieux sera de prévoir l’isolation des combles. La plus grande difficulté sera l’escalier.</w:t>
      </w:r>
    </w:p>
    <w:p w:rsidR="008763BA" w:rsidRDefault="008763BA"/>
    <w:p w:rsidR="008763BA" w:rsidRDefault="008763BA">
      <w:r>
        <w:t>Il faudra vérifier si la cheminée est aux normes actuelles d’isolation.</w:t>
      </w:r>
    </w:p>
    <w:p w:rsidR="008763BA" w:rsidRDefault="008763BA"/>
    <w:p w:rsidR="008763BA" w:rsidRDefault="008763BA">
      <w:r>
        <w:t>Une demande de prêt pourrait être envisagée pour les travaux. Il faudra également regarder par rapport à PALULOS si c’est intéressant de conventionner.</w:t>
      </w:r>
    </w:p>
    <w:p w:rsidR="008763BA" w:rsidRDefault="008763BA"/>
    <w:p w:rsidR="008763BA" w:rsidRDefault="008763BA">
      <w:r>
        <w:t>Seine Maritime Attractivité sera consulté pour le marché de travaux.</w:t>
      </w:r>
    </w:p>
    <w:p w:rsidR="008763BA" w:rsidRDefault="008763BA"/>
    <w:p w:rsidR="008763BA" w:rsidRDefault="008763BA">
      <w:r>
        <w:t>Des entreprises généralistes tel que TIHNO de Cany Barville vont être contactées pour des devis.</w:t>
      </w:r>
    </w:p>
    <w:p w:rsidR="008763BA" w:rsidRDefault="008763BA"/>
    <w:p w:rsidR="009D7033" w:rsidRDefault="009D7033"/>
    <w:p w:rsidR="009D7033" w:rsidRDefault="009D7033"/>
    <w:p w:rsidR="009D7033" w:rsidRDefault="009D7033"/>
    <w:p w:rsidR="009D7033" w:rsidRDefault="009D7033"/>
    <w:p w:rsidR="009D7033" w:rsidRDefault="009D7033"/>
    <w:p w:rsidR="009D7033" w:rsidRDefault="009D7033"/>
    <w:p w:rsidR="009D7033" w:rsidRDefault="009D7033"/>
    <w:p w:rsidR="008763BA" w:rsidRPr="009D7033" w:rsidRDefault="009D7033">
      <w:pPr>
        <w:rPr>
          <w:b/>
          <w:u w:val="single"/>
        </w:rPr>
      </w:pPr>
      <w:r w:rsidRPr="009D7033">
        <w:rPr>
          <w:b/>
          <w:sz w:val="22"/>
          <w:u w:val="single"/>
        </w:rPr>
        <w:lastRenderedPageBreak/>
        <w:t xml:space="preserve">Vote du compte administratif  </w:t>
      </w:r>
    </w:p>
    <w:p w:rsidR="009D7033" w:rsidRDefault="009D7033"/>
    <w:p w:rsidR="009D7033" w:rsidRPr="009D7033" w:rsidRDefault="009D7033" w:rsidP="009D7033">
      <w:pPr>
        <w:jc w:val="both"/>
        <w:rPr>
          <w:bCs/>
          <w:sz w:val="22"/>
          <w:szCs w:val="22"/>
        </w:rPr>
      </w:pPr>
      <w:r w:rsidRPr="009D7033">
        <w:rPr>
          <w:bCs/>
          <w:sz w:val="22"/>
          <w:szCs w:val="22"/>
        </w:rPr>
        <w:t>Un courrier de la préfecture demande de revoter le compte administratif car Mr le Maire apparait dans le nombre de conseillers comptés pour le vote. Mr Le maire n’avait pas participé au vote du compte administratif mais ça n’a pas été mentionné dans la délibération.</w:t>
      </w:r>
    </w:p>
    <w:p w:rsidR="009D7033" w:rsidRPr="009D7033" w:rsidRDefault="009D7033" w:rsidP="009D7033">
      <w:pPr>
        <w:jc w:val="both"/>
        <w:rPr>
          <w:bCs/>
          <w:sz w:val="22"/>
          <w:szCs w:val="22"/>
        </w:rPr>
      </w:pPr>
    </w:p>
    <w:p w:rsidR="009D7033" w:rsidRPr="009D7033" w:rsidRDefault="009D7033" w:rsidP="009D7033">
      <w:pPr>
        <w:jc w:val="both"/>
        <w:rPr>
          <w:bCs/>
          <w:sz w:val="22"/>
          <w:szCs w:val="22"/>
        </w:rPr>
      </w:pPr>
      <w:r w:rsidRPr="009D7033">
        <w:rPr>
          <w:bCs/>
          <w:sz w:val="22"/>
          <w:szCs w:val="22"/>
        </w:rPr>
        <w:t>Mr le Maire quitte la salle des délibérations et laisse la parole à Mme Mireille HALLLEBARD, doyenne d’âge de l’assemblée qui présente le compte administratif.</w:t>
      </w:r>
    </w:p>
    <w:p w:rsidR="009D7033" w:rsidRPr="009D7033" w:rsidRDefault="009D7033" w:rsidP="009D7033">
      <w:pPr>
        <w:jc w:val="both"/>
        <w:rPr>
          <w:b/>
          <w:bCs/>
          <w:sz w:val="22"/>
          <w:szCs w:val="22"/>
        </w:rPr>
      </w:pPr>
      <w:r w:rsidRPr="009D7033">
        <w:rPr>
          <w:b/>
          <w:bCs/>
          <w:sz w:val="22"/>
          <w:szCs w:val="22"/>
        </w:rPr>
        <w:t>Le Conseil Municipal, après en avoir délibéré, à l’unanimité des membres présents:</w:t>
      </w:r>
    </w:p>
    <w:p w:rsidR="009D7033" w:rsidRPr="009D7033" w:rsidRDefault="009D7033" w:rsidP="009D7033">
      <w:pPr>
        <w:numPr>
          <w:ilvl w:val="0"/>
          <w:numId w:val="1"/>
        </w:numPr>
        <w:autoSpaceDE/>
        <w:autoSpaceDN/>
        <w:adjustRightInd w:val="0"/>
        <w:spacing w:after="160" w:line="256" w:lineRule="auto"/>
        <w:contextualSpacing/>
        <w:rPr>
          <w:sz w:val="22"/>
          <w:szCs w:val="22"/>
        </w:rPr>
      </w:pPr>
      <w:r w:rsidRPr="009D7033">
        <w:rPr>
          <w:b/>
          <w:sz w:val="22"/>
          <w:szCs w:val="22"/>
        </w:rPr>
        <w:t>Décide</w:t>
      </w:r>
      <w:r w:rsidRPr="009D7033">
        <w:rPr>
          <w:sz w:val="22"/>
          <w:szCs w:val="22"/>
        </w:rPr>
        <w:t xml:space="preserve"> d’accepter le compte administratif  2017,</w:t>
      </w:r>
    </w:p>
    <w:p w:rsidR="009D7033" w:rsidRPr="009D7033" w:rsidRDefault="009D7033" w:rsidP="009D7033">
      <w:pPr>
        <w:numPr>
          <w:ilvl w:val="0"/>
          <w:numId w:val="1"/>
        </w:numPr>
        <w:autoSpaceDE/>
        <w:autoSpaceDN/>
        <w:adjustRightInd w:val="0"/>
        <w:spacing w:after="160" w:line="256" w:lineRule="auto"/>
        <w:contextualSpacing/>
        <w:rPr>
          <w:sz w:val="22"/>
          <w:szCs w:val="22"/>
        </w:rPr>
      </w:pPr>
      <w:r w:rsidRPr="009D7033">
        <w:rPr>
          <w:b/>
          <w:sz w:val="22"/>
          <w:szCs w:val="22"/>
        </w:rPr>
        <w:t>Constate</w:t>
      </w:r>
      <w:r w:rsidRPr="009D7033">
        <w:rPr>
          <w:sz w:val="22"/>
          <w:szCs w:val="22"/>
        </w:rPr>
        <w:t xml:space="preserve"> la concordance avec le compte de gestion de Mme le Trésorier Receveur Municipal, comme suit :</w:t>
      </w:r>
    </w:p>
    <w:tbl>
      <w:tblPr>
        <w:tblStyle w:val="Grilledutableau"/>
        <w:tblW w:w="0" w:type="auto"/>
        <w:tblLook w:val="04A0"/>
      </w:tblPr>
      <w:tblGrid>
        <w:gridCol w:w="6658"/>
        <w:gridCol w:w="2404"/>
      </w:tblGrid>
      <w:tr w:rsidR="009D7033" w:rsidRPr="009D7033" w:rsidTr="005D45BF">
        <w:tc>
          <w:tcPr>
            <w:tcW w:w="6658"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adjustRightInd w:val="0"/>
              <w:jc w:val="center"/>
              <w:rPr>
                <w:b/>
                <w:sz w:val="24"/>
                <w:szCs w:val="22"/>
                <w:lang w:eastAsia="en-US"/>
              </w:rPr>
            </w:pPr>
            <w:r w:rsidRPr="009D7033">
              <w:rPr>
                <w:b/>
                <w:sz w:val="24"/>
                <w:lang w:eastAsia="en-US"/>
              </w:rPr>
              <w:t>FONCTIONNEMENT</w:t>
            </w:r>
          </w:p>
        </w:tc>
        <w:tc>
          <w:tcPr>
            <w:tcW w:w="2404"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adjustRightInd w:val="0"/>
              <w:jc w:val="center"/>
              <w:rPr>
                <w:b/>
                <w:sz w:val="24"/>
                <w:lang w:eastAsia="en-US"/>
              </w:rPr>
            </w:pPr>
            <w:r w:rsidRPr="009D7033">
              <w:rPr>
                <w:b/>
                <w:sz w:val="24"/>
                <w:lang w:eastAsia="en-US"/>
              </w:rPr>
              <w:t>Réalisé</w:t>
            </w:r>
          </w:p>
        </w:tc>
      </w:tr>
      <w:tr w:rsidR="009D7033" w:rsidRPr="009D7033" w:rsidTr="005D45BF">
        <w:tc>
          <w:tcPr>
            <w:tcW w:w="6658"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adjustRightInd w:val="0"/>
              <w:rPr>
                <w:sz w:val="22"/>
                <w:lang w:eastAsia="en-US"/>
              </w:rPr>
            </w:pPr>
            <w:r w:rsidRPr="009D7033">
              <w:rPr>
                <w:lang w:eastAsia="en-US"/>
              </w:rPr>
              <w:t>Dépenses</w:t>
            </w:r>
          </w:p>
        </w:tc>
        <w:tc>
          <w:tcPr>
            <w:tcW w:w="2404"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adjustRightInd w:val="0"/>
              <w:jc w:val="right"/>
              <w:rPr>
                <w:lang w:eastAsia="en-US"/>
              </w:rPr>
            </w:pPr>
            <w:r w:rsidRPr="009D7033">
              <w:rPr>
                <w:lang w:eastAsia="en-US"/>
              </w:rPr>
              <w:t>190 903.53 €</w:t>
            </w:r>
          </w:p>
        </w:tc>
      </w:tr>
      <w:tr w:rsidR="009D7033" w:rsidRPr="009D7033" w:rsidTr="005D45BF">
        <w:tc>
          <w:tcPr>
            <w:tcW w:w="6658"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adjustRightInd w:val="0"/>
              <w:rPr>
                <w:lang w:eastAsia="en-US"/>
              </w:rPr>
            </w:pPr>
            <w:r w:rsidRPr="009D7033">
              <w:rPr>
                <w:lang w:eastAsia="en-US"/>
              </w:rPr>
              <w:t>Recettes</w:t>
            </w:r>
          </w:p>
        </w:tc>
        <w:tc>
          <w:tcPr>
            <w:tcW w:w="2404"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adjustRightInd w:val="0"/>
              <w:jc w:val="right"/>
              <w:rPr>
                <w:lang w:eastAsia="en-US"/>
              </w:rPr>
            </w:pPr>
            <w:r w:rsidRPr="009D7033">
              <w:rPr>
                <w:lang w:eastAsia="en-US"/>
              </w:rPr>
              <w:t>229 760.19 €</w:t>
            </w:r>
          </w:p>
        </w:tc>
      </w:tr>
      <w:tr w:rsidR="009D7033" w:rsidRPr="009D7033" w:rsidTr="005D45BF">
        <w:tc>
          <w:tcPr>
            <w:tcW w:w="6658"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adjustRightInd w:val="0"/>
              <w:rPr>
                <w:b/>
                <w:lang w:eastAsia="en-US"/>
              </w:rPr>
            </w:pPr>
            <w:r w:rsidRPr="009D7033">
              <w:rPr>
                <w:b/>
                <w:lang w:eastAsia="en-US"/>
              </w:rPr>
              <w:t>Excédent 2017</w:t>
            </w:r>
          </w:p>
        </w:tc>
        <w:tc>
          <w:tcPr>
            <w:tcW w:w="2404"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adjustRightInd w:val="0"/>
              <w:jc w:val="right"/>
              <w:rPr>
                <w:b/>
                <w:lang w:eastAsia="en-US"/>
              </w:rPr>
            </w:pPr>
            <w:r w:rsidRPr="009D7033">
              <w:rPr>
                <w:b/>
                <w:lang w:eastAsia="en-US"/>
              </w:rPr>
              <w:t>+38 856.66  €</w:t>
            </w:r>
          </w:p>
        </w:tc>
      </w:tr>
      <w:tr w:rsidR="009D7033" w:rsidRPr="009D7033" w:rsidTr="005D45BF">
        <w:tc>
          <w:tcPr>
            <w:tcW w:w="6658"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adjustRightInd w:val="0"/>
              <w:jc w:val="center"/>
              <w:rPr>
                <w:b/>
                <w:sz w:val="24"/>
                <w:lang w:eastAsia="en-US"/>
              </w:rPr>
            </w:pPr>
            <w:r w:rsidRPr="009D7033">
              <w:rPr>
                <w:b/>
                <w:sz w:val="24"/>
                <w:lang w:eastAsia="en-US"/>
              </w:rPr>
              <w:t>INVESTISSEMENT</w:t>
            </w:r>
          </w:p>
        </w:tc>
        <w:tc>
          <w:tcPr>
            <w:tcW w:w="2404"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adjustRightInd w:val="0"/>
              <w:jc w:val="center"/>
              <w:rPr>
                <w:b/>
                <w:sz w:val="24"/>
                <w:lang w:eastAsia="en-US"/>
              </w:rPr>
            </w:pPr>
            <w:r w:rsidRPr="009D7033">
              <w:rPr>
                <w:b/>
                <w:sz w:val="24"/>
                <w:lang w:eastAsia="en-US"/>
              </w:rPr>
              <w:t>Réalisé</w:t>
            </w:r>
          </w:p>
        </w:tc>
      </w:tr>
      <w:tr w:rsidR="009D7033" w:rsidRPr="009D7033" w:rsidTr="005D45BF">
        <w:tc>
          <w:tcPr>
            <w:tcW w:w="6658"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adjustRightInd w:val="0"/>
              <w:rPr>
                <w:sz w:val="22"/>
                <w:lang w:eastAsia="en-US"/>
              </w:rPr>
            </w:pPr>
            <w:r w:rsidRPr="009D7033">
              <w:rPr>
                <w:lang w:eastAsia="en-US"/>
              </w:rPr>
              <w:t>Dépenses</w:t>
            </w:r>
          </w:p>
        </w:tc>
        <w:tc>
          <w:tcPr>
            <w:tcW w:w="2404"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adjustRightInd w:val="0"/>
              <w:jc w:val="right"/>
              <w:rPr>
                <w:lang w:eastAsia="en-US"/>
              </w:rPr>
            </w:pPr>
            <w:r w:rsidRPr="009D7033">
              <w:rPr>
                <w:lang w:eastAsia="en-US"/>
              </w:rPr>
              <w:t>75 242.22  €</w:t>
            </w:r>
          </w:p>
        </w:tc>
      </w:tr>
      <w:tr w:rsidR="009D7033" w:rsidRPr="009D7033" w:rsidTr="005D45BF">
        <w:tc>
          <w:tcPr>
            <w:tcW w:w="6658"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adjustRightInd w:val="0"/>
              <w:rPr>
                <w:lang w:eastAsia="en-US"/>
              </w:rPr>
            </w:pPr>
            <w:r w:rsidRPr="009D7033">
              <w:rPr>
                <w:lang w:eastAsia="en-US"/>
              </w:rPr>
              <w:t>Recettes</w:t>
            </w:r>
          </w:p>
        </w:tc>
        <w:tc>
          <w:tcPr>
            <w:tcW w:w="2404"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adjustRightInd w:val="0"/>
              <w:jc w:val="right"/>
              <w:rPr>
                <w:lang w:eastAsia="en-US"/>
              </w:rPr>
            </w:pPr>
            <w:r w:rsidRPr="009D7033">
              <w:rPr>
                <w:lang w:eastAsia="en-US"/>
              </w:rPr>
              <w:t>53 094.51  €</w:t>
            </w:r>
          </w:p>
        </w:tc>
      </w:tr>
      <w:tr w:rsidR="009D7033" w:rsidRPr="009D7033" w:rsidTr="005D45BF">
        <w:tc>
          <w:tcPr>
            <w:tcW w:w="6658"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adjustRightInd w:val="0"/>
              <w:rPr>
                <w:b/>
                <w:lang w:eastAsia="en-US"/>
              </w:rPr>
            </w:pPr>
            <w:r w:rsidRPr="009D7033">
              <w:rPr>
                <w:b/>
                <w:lang w:eastAsia="en-US"/>
              </w:rPr>
              <w:t>Déficit 2017</w:t>
            </w:r>
          </w:p>
        </w:tc>
        <w:tc>
          <w:tcPr>
            <w:tcW w:w="2404"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adjustRightInd w:val="0"/>
              <w:jc w:val="right"/>
              <w:rPr>
                <w:b/>
                <w:lang w:eastAsia="en-US"/>
              </w:rPr>
            </w:pPr>
            <w:r w:rsidRPr="009D7033">
              <w:rPr>
                <w:b/>
                <w:lang w:eastAsia="en-US"/>
              </w:rPr>
              <w:t>- 22 147.71  €</w:t>
            </w:r>
          </w:p>
        </w:tc>
      </w:tr>
    </w:tbl>
    <w:p w:rsidR="009D7033" w:rsidRPr="009D7033" w:rsidRDefault="009D7033" w:rsidP="009D7033">
      <w:pPr>
        <w:adjustRightInd w:val="0"/>
        <w:rPr>
          <w:b/>
          <w:sz w:val="22"/>
          <w:szCs w:val="22"/>
        </w:rPr>
      </w:pPr>
    </w:p>
    <w:tbl>
      <w:tblPr>
        <w:tblStyle w:val="Grilledutableau"/>
        <w:tblW w:w="0" w:type="auto"/>
        <w:tblLook w:val="04A0"/>
      </w:tblPr>
      <w:tblGrid>
        <w:gridCol w:w="6658"/>
        <w:gridCol w:w="2404"/>
      </w:tblGrid>
      <w:tr w:rsidR="009D7033" w:rsidRPr="009D7033" w:rsidTr="005D45BF">
        <w:tc>
          <w:tcPr>
            <w:tcW w:w="6658"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rPr>
                <w:sz w:val="24"/>
                <w:lang w:eastAsia="en-US"/>
              </w:rPr>
            </w:pPr>
            <w:r w:rsidRPr="009D7033">
              <w:rPr>
                <w:sz w:val="24"/>
                <w:lang w:eastAsia="en-US"/>
              </w:rPr>
              <w:t>Excédent de Fonctionnement antérieur</w:t>
            </w:r>
          </w:p>
        </w:tc>
        <w:tc>
          <w:tcPr>
            <w:tcW w:w="2404"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jc w:val="right"/>
              <w:rPr>
                <w:b/>
                <w:lang w:eastAsia="en-US"/>
              </w:rPr>
            </w:pPr>
            <w:r w:rsidRPr="009D7033">
              <w:rPr>
                <w:b/>
                <w:lang w:eastAsia="en-US"/>
              </w:rPr>
              <w:t>265 911.11 €</w:t>
            </w:r>
          </w:p>
        </w:tc>
      </w:tr>
      <w:tr w:rsidR="009D7033" w:rsidRPr="009D7033" w:rsidTr="005D45BF">
        <w:tc>
          <w:tcPr>
            <w:tcW w:w="6658"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rPr>
                <w:sz w:val="24"/>
                <w:lang w:eastAsia="en-US"/>
              </w:rPr>
            </w:pPr>
            <w:r w:rsidRPr="009D7033">
              <w:rPr>
                <w:sz w:val="24"/>
                <w:lang w:eastAsia="en-US"/>
              </w:rPr>
              <w:t>Excédent d’Investissement Antérieur</w:t>
            </w:r>
          </w:p>
        </w:tc>
        <w:tc>
          <w:tcPr>
            <w:tcW w:w="2404"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jc w:val="right"/>
              <w:rPr>
                <w:b/>
                <w:lang w:eastAsia="en-US"/>
              </w:rPr>
            </w:pPr>
            <w:r w:rsidRPr="009D7033">
              <w:rPr>
                <w:b/>
                <w:lang w:eastAsia="en-US"/>
              </w:rPr>
              <w:t>34 367.15  €</w:t>
            </w:r>
          </w:p>
        </w:tc>
      </w:tr>
    </w:tbl>
    <w:p w:rsidR="009D7033" w:rsidRPr="009D7033" w:rsidRDefault="009D7033" w:rsidP="009D7033"/>
    <w:tbl>
      <w:tblPr>
        <w:tblStyle w:val="Grilledutableau"/>
        <w:tblW w:w="0" w:type="auto"/>
        <w:tblLook w:val="04A0"/>
      </w:tblPr>
      <w:tblGrid>
        <w:gridCol w:w="6658"/>
        <w:gridCol w:w="2404"/>
      </w:tblGrid>
      <w:tr w:rsidR="009D7033" w:rsidRPr="009D7033" w:rsidTr="005D45BF">
        <w:tc>
          <w:tcPr>
            <w:tcW w:w="6658"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rPr>
                <w:sz w:val="24"/>
                <w:lang w:eastAsia="en-US"/>
              </w:rPr>
            </w:pPr>
            <w:r w:rsidRPr="009D7033">
              <w:rPr>
                <w:sz w:val="24"/>
                <w:lang w:eastAsia="en-US"/>
              </w:rPr>
              <w:t>Excédent de Fonctionnement cumulé</w:t>
            </w:r>
          </w:p>
        </w:tc>
        <w:tc>
          <w:tcPr>
            <w:tcW w:w="2404"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jc w:val="right"/>
              <w:rPr>
                <w:b/>
                <w:sz w:val="24"/>
                <w:lang w:eastAsia="en-US"/>
              </w:rPr>
            </w:pPr>
            <w:r w:rsidRPr="009D7033">
              <w:rPr>
                <w:b/>
                <w:sz w:val="24"/>
                <w:lang w:eastAsia="en-US"/>
              </w:rPr>
              <w:t>304 767.77  €</w:t>
            </w:r>
          </w:p>
        </w:tc>
      </w:tr>
      <w:tr w:rsidR="009D7033" w:rsidRPr="009D7033" w:rsidTr="005D45BF">
        <w:tc>
          <w:tcPr>
            <w:tcW w:w="6658"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rPr>
                <w:sz w:val="24"/>
                <w:lang w:eastAsia="en-US"/>
              </w:rPr>
            </w:pPr>
            <w:r w:rsidRPr="009D7033">
              <w:rPr>
                <w:sz w:val="24"/>
                <w:lang w:eastAsia="en-US"/>
              </w:rPr>
              <w:t>Excédent d’Investissement cumulé</w:t>
            </w:r>
          </w:p>
        </w:tc>
        <w:tc>
          <w:tcPr>
            <w:tcW w:w="2404" w:type="dxa"/>
            <w:tcBorders>
              <w:top w:val="single" w:sz="4" w:space="0" w:color="auto"/>
              <w:left w:val="single" w:sz="4" w:space="0" w:color="auto"/>
              <w:bottom w:val="single" w:sz="4" w:space="0" w:color="auto"/>
              <w:right w:val="single" w:sz="4" w:space="0" w:color="auto"/>
            </w:tcBorders>
            <w:hideMark/>
          </w:tcPr>
          <w:p w:rsidR="009D7033" w:rsidRPr="009D7033" w:rsidRDefault="009D7033" w:rsidP="009D7033">
            <w:pPr>
              <w:jc w:val="right"/>
              <w:rPr>
                <w:b/>
                <w:sz w:val="24"/>
                <w:lang w:eastAsia="en-US"/>
              </w:rPr>
            </w:pPr>
            <w:r w:rsidRPr="009D7033">
              <w:rPr>
                <w:b/>
                <w:sz w:val="24"/>
                <w:lang w:eastAsia="en-US"/>
              </w:rPr>
              <w:t>12 219.44  €</w:t>
            </w:r>
          </w:p>
        </w:tc>
      </w:tr>
    </w:tbl>
    <w:p w:rsidR="009D7033" w:rsidRDefault="009D7033"/>
    <w:p w:rsidR="009D7033" w:rsidRDefault="009D7033"/>
    <w:p w:rsidR="009D7033" w:rsidRPr="009D7033" w:rsidRDefault="009D7033">
      <w:pPr>
        <w:rPr>
          <w:b/>
          <w:sz w:val="22"/>
          <w:u w:val="single"/>
        </w:rPr>
      </w:pPr>
      <w:r w:rsidRPr="009D7033">
        <w:rPr>
          <w:b/>
          <w:sz w:val="22"/>
          <w:u w:val="single"/>
        </w:rPr>
        <w:t>Contrat groupe d’assurance statutaire</w:t>
      </w:r>
    </w:p>
    <w:p w:rsidR="009D7033" w:rsidRDefault="009D7033"/>
    <w:p w:rsidR="009E0E55" w:rsidRPr="009E0E55" w:rsidRDefault="009E0E55" w:rsidP="009E0E55">
      <w:pPr>
        <w:autoSpaceDE/>
        <w:autoSpaceDN/>
        <w:spacing w:line="257" w:lineRule="auto"/>
        <w:rPr>
          <w:rFonts w:asciiTheme="minorHAnsi" w:eastAsiaTheme="minorHAnsi" w:hAnsiTheme="minorHAnsi" w:cstheme="minorBidi"/>
          <w:sz w:val="18"/>
          <w:szCs w:val="18"/>
          <w:lang w:eastAsia="en-US"/>
        </w:rPr>
      </w:pPr>
      <w:r w:rsidRPr="009E0E55">
        <w:rPr>
          <w:rFonts w:asciiTheme="minorHAnsi" w:eastAsiaTheme="minorHAnsi" w:hAnsiTheme="minorHAnsi" w:cstheme="minorBidi"/>
          <w:sz w:val="18"/>
          <w:szCs w:val="18"/>
          <w:lang w:eastAsia="en-US"/>
        </w:rPr>
        <w:t>Vu la loi n° 84-53 du 26 janvier 1984 modifiée portant disposition statutaires relatives à la Fonction Publique Territoriale et notamment son article 26 ;</w:t>
      </w:r>
    </w:p>
    <w:p w:rsidR="009E0E55" w:rsidRPr="009E0E55" w:rsidRDefault="009E0E55" w:rsidP="009E0E55">
      <w:pPr>
        <w:autoSpaceDE/>
        <w:autoSpaceDN/>
        <w:spacing w:line="257" w:lineRule="auto"/>
        <w:rPr>
          <w:rFonts w:asciiTheme="minorHAnsi" w:eastAsiaTheme="minorHAnsi" w:hAnsiTheme="minorHAnsi" w:cstheme="minorBidi"/>
          <w:sz w:val="18"/>
          <w:szCs w:val="18"/>
          <w:lang w:eastAsia="en-US"/>
        </w:rPr>
      </w:pPr>
    </w:p>
    <w:p w:rsidR="009E0E55" w:rsidRPr="009E0E55" w:rsidRDefault="009E0E55" w:rsidP="009E0E55">
      <w:pPr>
        <w:autoSpaceDE/>
        <w:autoSpaceDN/>
        <w:spacing w:line="257" w:lineRule="auto"/>
        <w:rPr>
          <w:rFonts w:asciiTheme="minorHAnsi" w:eastAsiaTheme="minorHAnsi" w:hAnsiTheme="minorHAnsi" w:cstheme="minorBidi"/>
          <w:sz w:val="18"/>
          <w:szCs w:val="18"/>
          <w:lang w:eastAsia="en-US"/>
        </w:rPr>
      </w:pPr>
      <w:r w:rsidRPr="009E0E55">
        <w:rPr>
          <w:rFonts w:asciiTheme="minorHAnsi" w:eastAsiaTheme="minorHAnsi" w:hAnsiTheme="minorHAnsi" w:cstheme="minorBidi"/>
          <w:sz w:val="18"/>
          <w:szCs w:val="18"/>
          <w:lang w:eastAsia="en-US"/>
        </w:rPr>
        <w:t>Vu le décret n° 86-552 du 14 mars 1986 modifié pris pour l’application de l’article 26 (alinéa 2) de la loi n° 84-56 du 26 janvier 1984 modifiée relatif aux contrats d’assurance souscrits par les centres de gestion pour le compte des collectivités locales et établissements territoriaux ;</w:t>
      </w:r>
    </w:p>
    <w:p w:rsidR="009E0E55" w:rsidRPr="009E0E55" w:rsidRDefault="009E0E55" w:rsidP="009E0E55">
      <w:pPr>
        <w:autoSpaceDE/>
        <w:autoSpaceDN/>
        <w:spacing w:line="257" w:lineRule="auto"/>
        <w:rPr>
          <w:rFonts w:asciiTheme="minorHAnsi" w:eastAsiaTheme="minorHAnsi" w:hAnsiTheme="minorHAnsi" w:cstheme="minorBidi"/>
          <w:sz w:val="18"/>
          <w:szCs w:val="18"/>
          <w:lang w:eastAsia="en-US"/>
        </w:rPr>
      </w:pPr>
    </w:p>
    <w:p w:rsidR="009E0E55" w:rsidRPr="009E0E55" w:rsidRDefault="009E0E55" w:rsidP="009E0E55">
      <w:pPr>
        <w:autoSpaceDE/>
        <w:autoSpaceDN/>
        <w:spacing w:after="160" w:line="256" w:lineRule="auto"/>
        <w:jc w:val="both"/>
        <w:rPr>
          <w:rFonts w:asciiTheme="minorHAnsi" w:eastAsiaTheme="minorHAnsi" w:hAnsiTheme="minorHAnsi" w:cstheme="minorBidi"/>
          <w:sz w:val="18"/>
          <w:szCs w:val="18"/>
          <w:lang w:eastAsia="en-US"/>
        </w:rPr>
      </w:pPr>
      <w:r w:rsidRPr="009E0E55">
        <w:rPr>
          <w:rFonts w:asciiTheme="minorHAnsi" w:eastAsiaTheme="minorHAnsi" w:hAnsiTheme="minorHAnsi" w:cstheme="minorBidi"/>
          <w:sz w:val="18"/>
          <w:szCs w:val="18"/>
          <w:lang w:eastAsia="en-US"/>
        </w:rPr>
        <w:t>Monsieur le Maire rappelle que la commune a, par délibération en date du 11 octobre 2017, demandé au centre de Gestion de la Fonction Publique Territoriale de Seine Maritime de souscrire pour son compte un contrat d’assurance statutaire garantissant les frais laissés à sa charge en vertu de l’application des textes régissant le statut de ses agents en application de l’article 26 de la loi n° 84-53 du 26 janvier 1984 modifiée portant dispositions statutaires relatives à la Fonction Publique Territoriale et du décret n° 86-552 du 14 mars modifié ;</w:t>
      </w:r>
    </w:p>
    <w:p w:rsidR="009E0E55" w:rsidRPr="009E0E55" w:rsidRDefault="009E0E55" w:rsidP="009E0E55">
      <w:pPr>
        <w:autoSpaceDE/>
        <w:autoSpaceDN/>
        <w:spacing w:after="160" w:line="256" w:lineRule="auto"/>
        <w:jc w:val="both"/>
        <w:rPr>
          <w:rFonts w:asciiTheme="minorHAnsi" w:eastAsiaTheme="minorHAnsi" w:hAnsiTheme="minorHAnsi" w:cstheme="minorBidi"/>
          <w:sz w:val="18"/>
          <w:szCs w:val="18"/>
          <w:lang w:eastAsia="en-US"/>
        </w:rPr>
      </w:pPr>
      <w:r w:rsidRPr="009E0E55">
        <w:rPr>
          <w:rFonts w:asciiTheme="minorHAnsi" w:eastAsiaTheme="minorHAnsi" w:hAnsiTheme="minorHAnsi" w:cstheme="minorBidi"/>
          <w:sz w:val="18"/>
          <w:szCs w:val="18"/>
          <w:lang w:eastAsia="en-US"/>
        </w:rPr>
        <w:t xml:space="preserve">Il rappelle également que le Centre de Gestion a communiqué à la commune les résultats la concernant. </w:t>
      </w:r>
    </w:p>
    <w:p w:rsidR="009E0E55" w:rsidRPr="009E0E55" w:rsidRDefault="009E0E55" w:rsidP="009E0E55">
      <w:pPr>
        <w:autoSpaceDE/>
        <w:autoSpaceDN/>
        <w:spacing w:after="160" w:line="256" w:lineRule="auto"/>
        <w:jc w:val="both"/>
        <w:rPr>
          <w:rFonts w:asciiTheme="minorHAnsi" w:eastAsiaTheme="minorHAnsi" w:hAnsiTheme="minorHAnsi" w:cstheme="minorBidi"/>
          <w:sz w:val="18"/>
          <w:szCs w:val="18"/>
          <w:lang w:eastAsia="en-US"/>
        </w:rPr>
      </w:pPr>
      <w:r w:rsidRPr="009E0E55">
        <w:rPr>
          <w:rFonts w:asciiTheme="minorHAnsi" w:eastAsiaTheme="minorHAnsi" w:hAnsiTheme="minorHAnsi" w:cstheme="minorBidi"/>
          <w:sz w:val="18"/>
          <w:szCs w:val="18"/>
          <w:lang w:eastAsia="en-US"/>
        </w:rPr>
        <w:t xml:space="preserve">Compte tenu des éléments exposés le conseil après en avoir délibéré à l’unanimité des membres présents : </w:t>
      </w:r>
    </w:p>
    <w:p w:rsidR="009E0E55" w:rsidRPr="009E0E55" w:rsidRDefault="009E0E55" w:rsidP="009E0E55">
      <w:pPr>
        <w:numPr>
          <w:ilvl w:val="0"/>
          <w:numId w:val="2"/>
        </w:numPr>
        <w:autoSpaceDE/>
        <w:autoSpaceDN/>
        <w:spacing w:after="160" w:line="257" w:lineRule="auto"/>
        <w:contextualSpacing/>
        <w:jc w:val="both"/>
        <w:rPr>
          <w:rFonts w:asciiTheme="minorHAnsi" w:eastAsiaTheme="minorHAnsi" w:hAnsiTheme="minorHAnsi" w:cstheme="minorBidi"/>
          <w:sz w:val="18"/>
          <w:szCs w:val="18"/>
          <w:lang w:eastAsia="en-US"/>
        </w:rPr>
      </w:pPr>
      <w:r w:rsidRPr="009E0E55">
        <w:rPr>
          <w:rFonts w:asciiTheme="minorHAnsi" w:eastAsiaTheme="minorHAnsi" w:hAnsiTheme="minorHAnsi" w:cstheme="minorBidi"/>
          <w:b/>
          <w:sz w:val="18"/>
          <w:szCs w:val="18"/>
          <w:lang w:eastAsia="en-US"/>
        </w:rPr>
        <w:t>DECIDE</w:t>
      </w:r>
      <w:r w:rsidRPr="009E0E55">
        <w:rPr>
          <w:rFonts w:asciiTheme="minorHAnsi" w:eastAsiaTheme="minorHAnsi" w:hAnsiTheme="minorHAnsi" w:cstheme="minorBidi"/>
          <w:sz w:val="18"/>
          <w:szCs w:val="18"/>
          <w:lang w:eastAsia="en-US"/>
        </w:rPr>
        <w:t xml:space="preserve"> d’accepter la proposition suivante : </w:t>
      </w: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r w:rsidRPr="009E0E55">
        <w:rPr>
          <w:rFonts w:asciiTheme="minorHAnsi" w:eastAsiaTheme="minorHAnsi" w:hAnsiTheme="minorHAnsi" w:cstheme="minorBidi"/>
          <w:sz w:val="18"/>
          <w:szCs w:val="18"/>
          <w:u w:val="single"/>
          <w:lang w:eastAsia="en-US"/>
        </w:rPr>
        <w:t>Assureur</w:t>
      </w:r>
      <w:r w:rsidRPr="009E0E55">
        <w:rPr>
          <w:rFonts w:asciiTheme="minorHAnsi" w:eastAsiaTheme="minorHAnsi" w:hAnsiTheme="minorHAnsi" w:cstheme="minorBidi"/>
          <w:sz w:val="18"/>
          <w:szCs w:val="18"/>
          <w:lang w:eastAsia="en-US"/>
        </w:rPr>
        <w:t> : CNP ASSURANCES/ SOFAXIS</w:t>
      </w: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r w:rsidRPr="009E0E55">
        <w:rPr>
          <w:rFonts w:asciiTheme="minorHAnsi" w:eastAsiaTheme="minorHAnsi" w:hAnsiTheme="minorHAnsi" w:cstheme="minorBidi"/>
          <w:sz w:val="18"/>
          <w:szCs w:val="18"/>
          <w:u w:val="single"/>
          <w:lang w:eastAsia="en-US"/>
        </w:rPr>
        <w:t>Durée du contrat</w:t>
      </w:r>
      <w:r w:rsidRPr="009E0E55">
        <w:rPr>
          <w:rFonts w:asciiTheme="minorHAnsi" w:eastAsiaTheme="minorHAnsi" w:hAnsiTheme="minorHAnsi" w:cstheme="minorBidi"/>
          <w:sz w:val="18"/>
          <w:szCs w:val="18"/>
          <w:lang w:eastAsia="en-US"/>
        </w:rPr>
        <w:t> : 4 ans à compter du 1</w:t>
      </w:r>
      <w:r w:rsidRPr="009E0E55">
        <w:rPr>
          <w:rFonts w:asciiTheme="minorHAnsi" w:eastAsiaTheme="minorHAnsi" w:hAnsiTheme="minorHAnsi" w:cstheme="minorBidi"/>
          <w:sz w:val="18"/>
          <w:szCs w:val="18"/>
          <w:vertAlign w:val="superscript"/>
          <w:lang w:eastAsia="en-US"/>
        </w:rPr>
        <w:t>er</w:t>
      </w:r>
      <w:r w:rsidRPr="009E0E55">
        <w:rPr>
          <w:rFonts w:asciiTheme="minorHAnsi" w:eastAsiaTheme="minorHAnsi" w:hAnsiTheme="minorHAnsi" w:cstheme="minorBidi"/>
          <w:sz w:val="18"/>
          <w:szCs w:val="18"/>
          <w:lang w:eastAsia="en-US"/>
        </w:rPr>
        <w:t xml:space="preserve"> janvier 2019</w:t>
      </w: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r w:rsidRPr="009E0E55">
        <w:rPr>
          <w:rFonts w:asciiTheme="minorHAnsi" w:eastAsiaTheme="minorHAnsi" w:hAnsiTheme="minorHAnsi" w:cstheme="minorBidi"/>
          <w:sz w:val="18"/>
          <w:szCs w:val="18"/>
          <w:u w:val="single"/>
          <w:lang w:eastAsia="en-US"/>
        </w:rPr>
        <w:t>Régime du contrat</w:t>
      </w:r>
      <w:r w:rsidRPr="009E0E55">
        <w:rPr>
          <w:rFonts w:asciiTheme="minorHAnsi" w:eastAsiaTheme="minorHAnsi" w:hAnsiTheme="minorHAnsi" w:cstheme="minorBidi"/>
          <w:sz w:val="18"/>
          <w:szCs w:val="18"/>
          <w:lang w:eastAsia="en-US"/>
        </w:rPr>
        <w:t> : capitalisation</w:t>
      </w: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r w:rsidRPr="009E0E55">
        <w:rPr>
          <w:rFonts w:asciiTheme="minorHAnsi" w:eastAsiaTheme="minorHAnsi" w:hAnsiTheme="minorHAnsi" w:cstheme="minorBidi"/>
          <w:sz w:val="18"/>
          <w:szCs w:val="18"/>
          <w:u w:val="single"/>
          <w:lang w:eastAsia="en-US"/>
        </w:rPr>
        <w:t>Préavis</w:t>
      </w:r>
      <w:r w:rsidRPr="009E0E55">
        <w:rPr>
          <w:rFonts w:asciiTheme="minorHAnsi" w:eastAsiaTheme="minorHAnsi" w:hAnsiTheme="minorHAnsi" w:cstheme="minorBidi"/>
          <w:sz w:val="18"/>
          <w:szCs w:val="18"/>
          <w:lang w:eastAsia="en-US"/>
        </w:rPr>
        <w:t> : adhésion résiliable chaque année sous réserve de l’observation d’un préavis de 6 mois</w:t>
      </w: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r w:rsidRPr="009E0E55">
        <w:rPr>
          <w:rFonts w:asciiTheme="minorHAnsi" w:eastAsiaTheme="minorHAnsi" w:hAnsiTheme="minorHAnsi" w:cstheme="minorBidi"/>
          <w:b/>
          <w:sz w:val="18"/>
          <w:szCs w:val="18"/>
          <w:u w:val="single"/>
          <w:lang w:eastAsia="en-US"/>
        </w:rPr>
        <w:lastRenderedPageBreak/>
        <w:t>Agents affiliés à la CNRACL</w:t>
      </w:r>
      <w:r w:rsidRPr="009E0E55">
        <w:rPr>
          <w:rFonts w:asciiTheme="minorHAnsi" w:eastAsiaTheme="minorHAnsi" w:hAnsiTheme="minorHAnsi" w:cstheme="minorBidi"/>
          <w:sz w:val="18"/>
          <w:szCs w:val="18"/>
          <w:lang w:eastAsia="en-US"/>
        </w:rPr>
        <w:t xml:space="preserve"> : </w:t>
      </w: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r w:rsidRPr="009E0E55">
        <w:rPr>
          <w:rFonts w:asciiTheme="minorHAnsi" w:eastAsiaTheme="minorHAnsi" w:hAnsiTheme="minorHAnsi" w:cstheme="minorBidi"/>
          <w:sz w:val="18"/>
          <w:szCs w:val="18"/>
          <w:lang w:eastAsia="en-US"/>
        </w:rPr>
        <w:t xml:space="preserve">Tous les risques avec une franchise de 10 jours par arrêt de maladie ordinaire : </w:t>
      </w:r>
      <w:r w:rsidRPr="009E0E55">
        <w:rPr>
          <w:rFonts w:asciiTheme="minorHAnsi" w:eastAsiaTheme="minorHAnsi" w:hAnsiTheme="minorHAnsi" w:cstheme="minorBidi"/>
          <w:sz w:val="18"/>
          <w:szCs w:val="18"/>
          <w:lang w:eastAsia="en-US"/>
        </w:rPr>
        <w:tab/>
      </w:r>
      <w:r w:rsidRPr="009E0E55">
        <w:rPr>
          <w:rFonts w:asciiTheme="minorHAnsi" w:eastAsiaTheme="minorHAnsi" w:hAnsiTheme="minorHAnsi" w:cstheme="minorBidi"/>
          <w:sz w:val="18"/>
          <w:szCs w:val="18"/>
          <w:lang w:eastAsia="en-US"/>
        </w:rPr>
        <w:tab/>
      </w:r>
      <w:r w:rsidRPr="009E0E55">
        <w:rPr>
          <w:rFonts w:asciiTheme="minorHAnsi" w:eastAsiaTheme="minorHAnsi" w:hAnsiTheme="minorHAnsi" w:cstheme="minorBidi"/>
          <w:sz w:val="18"/>
          <w:szCs w:val="18"/>
          <w:lang w:eastAsia="en-US"/>
        </w:rPr>
        <w:tab/>
      </w:r>
      <w:r w:rsidRPr="009E0E55">
        <w:rPr>
          <w:rFonts w:asciiTheme="minorHAnsi" w:eastAsiaTheme="minorHAnsi" w:hAnsiTheme="minorHAnsi" w:cstheme="minorBidi"/>
          <w:b/>
          <w:sz w:val="18"/>
          <w:szCs w:val="18"/>
          <w:lang w:eastAsia="en-US"/>
        </w:rPr>
        <w:t>5.80 %</w:t>
      </w: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r w:rsidRPr="009E0E55">
        <w:rPr>
          <w:rFonts w:asciiTheme="minorHAnsi" w:eastAsiaTheme="minorHAnsi" w:hAnsiTheme="minorHAnsi" w:cstheme="minorBidi"/>
          <w:b/>
          <w:sz w:val="18"/>
          <w:szCs w:val="18"/>
          <w:u w:val="single"/>
          <w:lang w:eastAsia="en-US"/>
        </w:rPr>
        <w:t>Agents titulaires ou stagiaires non affiliés à la CNRACL et des agents contractuels de droit public</w:t>
      </w:r>
      <w:r w:rsidRPr="009E0E55">
        <w:rPr>
          <w:rFonts w:asciiTheme="minorHAnsi" w:eastAsiaTheme="minorHAnsi" w:hAnsiTheme="minorHAnsi" w:cstheme="minorBidi"/>
          <w:sz w:val="18"/>
          <w:szCs w:val="18"/>
          <w:lang w:eastAsia="en-US"/>
        </w:rPr>
        <w:t> :</w:t>
      </w:r>
      <w:r w:rsidRPr="009E0E55">
        <w:rPr>
          <w:rFonts w:asciiTheme="minorHAnsi" w:eastAsiaTheme="minorHAnsi" w:hAnsiTheme="minorHAnsi" w:cstheme="minorBidi"/>
          <w:sz w:val="18"/>
          <w:szCs w:val="18"/>
          <w:lang w:eastAsia="en-US"/>
        </w:rPr>
        <w:tab/>
      </w: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r w:rsidRPr="009E0E55">
        <w:rPr>
          <w:rFonts w:asciiTheme="minorHAnsi" w:eastAsiaTheme="minorHAnsi" w:hAnsiTheme="minorHAnsi" w:cstheme="minorBidi"/>
          <w:sz w:val="18"/>
          <w:szCs w:val="18"/>
          <w:lang w:eastAsia="en-US"/>
        </w:rPr>
        <w:t>Tous les risques avec franchise de 10 jours en maladie ordinaire</w:t>
      </w:r>
      <w:r w:rsidRPr="009E0E55">
        <w:rPr>
          <w:rFonts w:asciiTheme="minorHAnsi" w:eastAsiaTheme="minorHAnsi" w:hAnsiTheme="minorHAnsi" w:cstheme="minorBidi"/>
          <w:sz w:val="18"/>
          <w:szCs w:val="18"/>
          <w:lang w:eastAsia="en-US"/>
        </w:rPr>
        <w:tab/>
      </w:r>
      <w:r w:rsidRPr="009E0E55">
        <w:rPr>
          <w:rFonts w:asciiTheme="minorHAnsi" w:eastAsiaTheme="minorHAnsi" w:hAnsiTheme="minorHAnsi" w:cstheme="minorBidi"/>
          <w:sz w:val="18"/>
          <w:szCs w:val="18"/>
          <w:lang w:eastAsia="en-US"/>
        </w:rPr>
        <w:tab/>
      </w:r>
      <w:r w:rsidRPr="009E0E55">
        <w:rPr>
          <w:rFonts w:asciiTheme="minorHAnsi" w:eastAsiaTheme="minorHAnsi" w:hAnsiTheme="minorHAnsi" w:cstheme="minorBidi"/>
          <w:sz w:val="18"/>
          <w:szCs w:val="18"/>
          <w:lang w:eastAsia="en-US"/>
        </w:rPr>
        <w:tab/>
      </w:r>
      <w:r w:rsidRPr="009E0E55">
        <w:rPr>
          <w:rFonts w:asciiTheme="minorHAnsi" w:eastAsiaTheme="minorHAnsi" w:hAnsiTheme="minorHAnsi" w:cstheme="minorBidi"/>
          <w:sz w:val="18"/>
          <w:szCs w:val="18"/>
          <w:lang w:eastAsia="en-US"/>
        </w:rPr>
        <w:tab/>
      </w:r>
      <w:r w:rsidRPr="009E0E55">
        <w:rPr>
          <w:rFonts w:asciiTheme="minorHAnsi" w:eastAsiaTheme="minorHAnsi" w:hAnsiTheme="minorHAnsi" w:cstheme="minorBidi"/>
          <w:sz w:val="18"/>
          <w:szCs w:val="18"/>
          <w:lang w:eastAsia="en-US"/>
        </w:rPr>
        <w:tab/>
      </w:r>
      <w:r w:rsidRPr="009E0E55">
        <w:rPr>
          <w:rFonts w:asciiTheme="minorHAnsi" w:eastAsiaTheme="minorHAnsi" w:hAnsiTheme="minorHAnsi" w:cstheme="minorBidi"/>
          <w:b/>
          <w:sz w:val="18"/>
          <w:szCs w:val="18"/>
          <w:lang w:eastAsia="en-US"/>
        </w:rPr>
        <w:t>0.98 %</w:t>
      </w: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r w:rsidRPr="009E0E55">
        <w:rPr>
          <w:rFonts w:asciiTheme="minorHAnsi" w:eastAsiaTheme="minorHAnsi" w:hAnsiTheme="minorHAnsi" w:cstheme="minorBidi"/>
          <w:sz w:val="18"/>
          <w:szCs w:val="18"/>
          <w:lang w:eastAsia="en-US"/>
        </w:rPr>
        <w:t>Les services du Centre de Gestion assurant la gestion complète du contrat d’assurances en lieu et place de l’assureur, des frais de gestion seront dus au Centre de Gestion par chaque collectivité assurée. Ces frais s’élèvent à 0.20 % de la masse salariale assurée par la collectivité.</w:t>
      </w: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p>
    <w:p w:rsidR="009E0E55" w:rsidRPr="009E0E55" w:rsidRDefault="009E0E55" w:rsidP="009E0E55">
      <w:pPr>
        <w:numPr>
          <w:ilvl w:val="0"/>
          <w:numId w:val="2"/>
        </w:numPr>
        <w:autoSpaceDE/>
        <w:autoSpaceDN/>
        <w:spacing w:after="160" w:line="257" w:lineRule="auto"/>
        <w:contextualSpacing/>
        <w:jc w:val="both"/>
        <w:rPr>
          <w:rFonts w:asciiTheme="minorHAnsi" w:eastAsiaTheme="minorHAnsi" w:hAnsiTheme="minorHAnsi" w:cstheme="minorBidi"/>
          <w:sz w:val="18"/>
          <w:szCs w:val="18"/>
          <w:lang w:eastAsia="en-US"/>
        </w:rPr>
      </w:pPr>
      <w:r w:rsidRPr="009E0E55">
        <w:rPr>
          <w:rFonts w:asciiTheme="minorHAnsi" w:eastAsiaTheme="minorHAnsi" w:hAnsiTheme="minorHAnsi" w:cstheme="minorBidi"/>
          <w:b/>
          <w:sz w:val="18"/>
          <w:szCs w:val="18"/>
          <w:lang w:eastAsia="en-US"/>
        </w:rPr>
        <w:t>AUTORISE</w:t>
      </w:r>
      <w:r w:rsidRPr="009E0E55">
        <w:rPr>
          <w:rFonts w:asciiTheme="minorHAnsi" w:eastAsiaTheme="minorHAnsi" w:hAnsiTheme="minorHAnsi" w:cstheme="minorBidi"/>
          <w:sz w:val="18"/>
          <w:szCs w:val="18"/>
          <w:lang w:eastAsia="en-US"/>
        </w:rPr>
        <w:t xml:space="preserve"> la commune à adhérer au contrat groupe proposé par le Centre de Gestion de la Fonction Publique Territoriale de la Seine Maritime, à compter du 1</w:t>
      </w:r>
      <w:r w:rsidRPr="009E0E55">
        <w:rPr>
          <w:rFonts w:asciiTheme="minorHAnsi" w:eastAsiaTheme="minorHAnsi" w:hAnsiTheme="minorHAnsi" w:cstheme="minorBidi"/>
          <w:sz w:val="18"/>
          <w:szCs w:val="18"/>
          <w:vertAlign w:val="superscript"/>
          <w:lang w:eastAsia="en-US"/>
        </w:rPr>
        <w:t>er</w:t>
      </w:r>
      <w:r w:rsidRPr="009E0E55">
        <w:rPr>
          <w:rFonts w:asciiTheme="minorHAnsi" w:eastAsiaTheme="minorHAnsi" w:hAnsiTheme="minorHAnsi" w:cstheme="minorBidi"/>
          <w:sz w:val="18"/>
          <w:szCs w:val="18"/>
          <w:lang w:eastAsia="en-US"/>
        </w:rPr>
        <w:t xml:space="preserve"> janvier 2019.</w:t>
      </w:r>
    </w:p>
    <w:p w:rsidR="009E0E55" w:rsidRPr="009E0E55" w:rsidRDefault="009E0E55" w:rsidP="009E0E55">
      <w:pPr>
        <w:autoSpaceDE/>
        <w:autoSpaceDN/>
        <w:spacing w:line="257" w:lineRule="auto"/>
        <w:jc w:val="both"/>
        <w:rPr>
          <w:rFonts w:asciiTheme="minorHAnsi" w:eastAsiaTheme="minorHAnsi" w:hAnsiTheme="minorHAnsi" w:cstheme="minorBidi"/>
          <w:sz w:val="18"/>
          <w:szCs w:val="18"/>
          <w:lang w:eastAsia="en-US"/>
        </w:rPr>
      </w:pPr>
    </w:p>
    <w:p w:rsidR="009E0E55" w:rsidRPr="009E0E55" w:rsidRDefault="009E0E55" w:rsidP="009E0E55">
      <w:pPr>
        <w:numPr>
          <w:ilvl w:val="0"/>
          <w:numId w:val="2"/>
        </w:numPr>
        <w:autoSpaceDE/>
        <w:autoSpaceDN/>
        <w:spacing w:after="160" w:line="257" w:lineRule="auto"/>
        <w:contextualSpacing/>
        <w:jc w:val="both"/>
        <w:rPr>
          <w:rFonts w:asciiTheme="minorHAnsi" w:eastAsiaTheme="minorHAnsi" w:hAnsiTheme="minorHAnsi" w:cstheme="minorBidi"/>
          <w:sz w:val="18"/>
          <w:szCs w:val="18"/>
          <w:lang w:eastAsia="en-US"/>
        </w:rPr>
      </w:pPr>
      <w:r w:rsidRPr="009E0E55">
        <w:rPr>
          <w:rFonts w:asciiTheme="minorHAnsi" w:eastAsiaTheme="minorHAnsi" w:hAnsiTheme="minorHAnsi" w:cstheme="minorBidi"/>
          <w:b/>
          <w:sz w:val="18"/>
          <w:szCs w:val="18"/>
          <w:lang w:eastAsia="en-US"/>
        </w:rPr>
        <w:t>AUTORISE</w:t>
      </w:r>
      <w:r w:rsidRPr="009E0E55">
        <w:rPr>
          <w:rFonts w:asciiTheme="minorHAnsi" w:eastAsiaTheme="minorHAnsi" w:hAnsiTheme="minorHAnsi" w:cstheme="minorBidi"/>
          <w:sz w:val="18"/>
          <w:szCs w:val="18"/>
          <w:lang w:eastAsia="en-US"/>
        </w:rPr>
        <w:t xml:space="preserve"> le Maire ou son représentant à prendre et à signer les conventions en résultant et tout acte y afférent.</w:t>
      </w:r>
    </w:p>
    <w:p w:rsidR="009D7033" w:rsidRDefault="009D7033"/>
    <w:p w:rsidR="009E0E55" w:rsidRDefault="009E0E55"/>
    <w:p w:rsidR="009E0E55" w:rsidRPr="009E0E55" w:rsidRDefault="009E0E55">
      <w:pPr>
        <w:rPr>
          <w:b/>
          <w:u w:val="single"/>
        </w:rPr>
      </w:pPr>
      <w:r w:rsidRPr="009E0E55">
        <w:rPr>
          <w:b/>
          <w:u w:val="single"/>
        </w:rPr>
        <w:t>Questions diverses</w:t>
      </w:r>
    </w:p>
    <w:p w:rsidR="009E0E55" w:rsidRPr="009E0E55" w:rsidRDefault="009E0E55">
      <w:pPr>
        <w:rPr>
          <w:b/>
          <w:u w:val="single"/>
        </w:rPr>
      </w:pPr>
    </w:p>
    <w:p w:rsidR="009E0E55" w:rsidRDefault="00DC4E64">
      <w:r>
        <w:t>A plusieurs reprises Mr PETIT a demandé des aménagements sur la RD 37 afin de sécuriser la sortie du chemin des Forrières. La commission de sécurité du département se rendra sur place le 1</w:t>
      </w:r>
      <w:r w:rsidRPr="00DC4E64">
        <w:rPr>
          <w:vertAlign w:val="superscript"/>
        </w:rPr>
        <w:t>er</w:t>
      </w:r>
      <w:r>
        <w:t xml:space="preserve"> septembre.</w:t>
      </w:r>
    </w:p>
    <w:p w:rsidR="00DC4E64" w:rsidRDefault="00DC4E64"/>
    <w:p w:rsidR="00DC4E64" w:rsidRDefault="00DC4E64">
      <w:r>
        <w:t>Lors du débat d’orientation budgétaire 2019 de la Communauté de Communes de la Côte d’Albâtre l’assainissement de Blosseville a été budgété.</w:t>
      </w:r>
    </w:p>
    <w:p w:rsidR="00DC4E64" w:rsidRDefault="00DC4E64"/>
    <w:p w:rsidR="00DC4E64" w:rsidRDefault="00DC4E64">
      <w:r>
        <w:t>Les panneaux de la rue des Bertagnes vont être modifiés car lors du changement de l’ensemble des panneaux il avait été mis « Chemin des Bertagnes. Les habitants de cette rue ont souhaité retrouvé le nom initial de Rue des Bertagnes.</w:t>
      </w:r>
    </w:p>
    <w:p w:rsidR="00DC4E64" w:rsidRDefault="00DC4E64"/>
    <w:p w:rsidR="00DC4E64" w:rsidRDefault="00DC4E64">
      <w:r>
        <w:t>Un courrier va être envoyé à Mme SINEAU-PATRY vice-présidente du département afin qu’elle appuie le dossier de Blosseville auprès d’habitat 76 pour la construction d’un lotissement</w:t>
      </w:r>
    </w:p>
    <w:p w:rsidR="00DC4E64" w:rsidRDefault="00DC4E64"/>
    <w:p w:rsidR="00DC4E64" w:rsidRDefault="00BA22BB">
      <w:r>
        <w:t>Mr et Mme MANNEVILLE ont demandé la pose d’un volet roulant pour la porte de derrière l’appartement communal ainsi que des barreaux aux fenêtres  de derrière. Un devis va être demandé.</w:t>
      </w:r>
    </w:p>
    <w:p w:rsidR="00BA22BB" w:rsidRDefault="00BA22BB"/>
    <w:p w:rsidR="00BA22BB" w:rsidRDefault="00BA22BB">
      <w:r>
        <w:t>La question est posée de la démarche à suivre lorsque des animaux chats ou chiens sont retrouvés d</w:t>
      </w:r>
      <w:r w:rsidR="003047AB">
        <w:t xml:space="preserve">ans </w:t>
      </w:r>
      <w:proofErr w:type="gramStart"/>
      <w:r w:rsidR="003047AB">
        <w:t>la</w:t>
      </w:r>
      <w:bookmarkStart w:id="0" w:name="_GoBack"/>
      <w:bookmarkEnd w:id="0"/>
      <w:r>
        <w:t xml:space="preserve"> communes</w:t>
      </w:r>
      <w:proofErr w:type="gramEnd"/>
      <w:r>
        <w:t xml:space="preserve"> sur la voie publique. Une convention de partenariat avec la SPA est signée avec la communauté de communes mais les personnes désirant porter des animaux à la SPA doivent avoir un document de la mairie les y autorisant.</w:t>
      </w:r>
    </w:p>
    <w:p w:rsidR="00BA22BB" w:rsidRDefault="00BA22BB"/>
    <w:p w:rsidR="00BA22BB" w:rsidRDefault="00BA22BB"/>
    <w:p w:rsidR="00BA22BB" w:rsidRDefault="00BA22BB">
      <w:r>
        <w:t>N’ayant plus de questions à l’ordre du jour la séance est levée à 19h45.</w:t>
      </w:r>
    </w:p>
    <w:p w:rsidR="00BA22BB" w:rsidRDefault="00BA22BB"/>
    <w:sectPr w:rsidR="00BA22BB" w:rsidSect="009F63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C2710"/>
    <w:multiLevelType w:val="hybridMultilevel"/>
    <w:tmpl w:val="D5DE4866"/>
    <w:lvl w:ilvl="0" w:tplc="C00ABCF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487336A3"/>
    <w:multiLevelType w:val="hybridMultilevel"/>
    <w:tmpl w:val="A502E8A6"/>
    <w:lvl w:ilvl="0" w:tplc="22BCDB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8763BA"/>
    <w:rsid w:val="00216780"/>
    <w:rsid w:val="003047AB"/>
    <w:rsid w:val="005A1BDE"/>
    <w:rsid w:val="0080157F"/>
    <w:rsid w:val="008763BA"/>
    <w:rsid w:val="009C6D93"/>
    <w:rsid w:val="009D7033"/>
    <w:rsid w:val="009E0E55"/>
    <w:rsid w:val="009F637E"/>
    <w:rsid w:val="00BA22BB"/>
    <w:rsid w:val="00DC4E64"/>
    <w:rsid w:val="00E32C6E"/>
    <w:rsid w:val="00EE31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3BA"/>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D7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A22BB"/>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22BB"/>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930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5401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utilisateur</cp:lastModifiedBy>
  <cp:revision>3</cp:revision>
  <cp:lastPrinted>2018-11-07T18:39:00Z</cp:lastPrinted>
  <dcterms:created xsi:type="dcterms:W3CDTF">2018-11-17T06:50:00Z</dcterms:created>
  <dcterms:modified xsi:type="dcterms:W3CDTF">2019-01-11T19:36:00Z</dcterms:modified>
</cp:coreProperties>
</file>